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DC" w:rsidRPr="00D678DC" w:rsidRDefault="00D678DC" w:rsidP="00D678DC">
      <w:pPr>
        <w:widowControl w:val="0"/>
        <w:shd w:val="clear" w:color="auto" w:fill="FFD966" w:themeFill="accent4" w:themeFillTint="99"/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78DC" w:rsidRPr="00D678DC" w:rsidRDefault="00341E9F" w:rsidP="00D678DC">
      <w:pPr>
        <w:widowControl w:val="0"/>
        <w:shd w:val="clear" w:color="auto" w:fill="FFD966" w:themeFill="accent4" w:themeFillTint="99"/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678DC">
        <w:rPr>
          <w:rFonts w:ascii="Times New Roman" w:hAnsi="Times New Roman" w:cs="Times New Roman"/>
          <w:sz w:val="28"/>
          <w:szCs w:val="24"/>
        </w:rPr>
        <w:t xml:space="preserve">Najlepszy sposób korzystania z tego </w:t>
      </w:r>
      <w:r w:rsidR="00D678DC" w:rsidRPr="00D678DC">
        <w:rPr>
          <w:rFonts w:ascii="Times New Roman" w:hAnsi="Times New Roman" w:cs="Times New Roman"/>
          <w:sz w:val="28"/>
          <w:szCs w:val="24"/>
        </w:rPr>
        <w:t>szablonu</w:t>
      </w:r>
    </w:p>
    <w:p w:rsidR="00D678DC" w:rsidRPr="00D678DC" w:rsidRDefault="00341E9F" w:rsidP="00D678DC">
      <w:pPr>
        <w:widowControl w:val="0"/>
        <w:shd w:val="clear" w:color="auto" w:fill="FFD966" w:themeFill="accent4" w:themeFillTint="99"/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678DC">
        <w:rPr>
          <w:rFonts w:ascii="Times New Roman" w:hAnsi="Times New Roman" w:cs="Times New Roman"/>
          <w:sz w:val="28"/>
          <w:szCs w:val="24"/>
        </w:rPr>
        <w:t xml:space="preserve">to </w:t>
      </w:r>
      <w:r w:rsidRPr="00D678DC">
        <w:rPr>
          <w:rFonts w:ascii="Times New Roman" w:hAnsi="Times New Roman" w:cs="Times New Roman"/>
          <w:b/>
          <w:sz w:val="28"/>
          <w:szCs w:val="24"/>
        </w:rPr>
        <w:t>pisani</w:t>
      </w:r>
      <w:r w:rsidR="00D972D8" w:rsidRPr="00D678DC">
        <w:rPr>
          <w:rFonts w:ascii="Times New Roman" w:hAnsi="Times New Roman" w:cs="Times New Roman"/>
          <w:b/>
          <w:sz w:val="28"/>
          <w:szCs w:val="24"/>
        </w:rPr>
        <w:t>e</w:t>
      </w:r>
      <w:r w:rsidRPr="00D678DC">
        <w:rPr>
          <w:rFonts w:ascii="Times New Roman" w:hAnsi="Times New Roman" w:cs="Times New Roman"/>
          <w:b/>
          <w:sz w:val="28"/>
          <w:szCs w:val="24"/>
        </w:rPr>
        <w:t xml:space="preserve"> w tym pliku swojego tekstu</w:t>
      </w:r>
      <w:r w:rsidRPr="00D678DC">
        <w:rPr>
          <w:rFonts w:ascii="Times New Roman" w:hAnsi="Times New Roman" w:cs="Times New Roman"/>
          <w:sz w:val="28"/>
          <w:szCs w:val="24"/>
        </w:rPr>
        <w:t xml:space="preserve"> –</w:t>
      </w:r>
    </w:p>
    <w:p w:rsidR="00D678DC" w:rsidRPr="00D678DC" w:rsidRDefault="00D972D8" w:rsidP="00D678DC">
      <w:pPr>
        <w:widowControl w:val="0"/>
        <w:shd w:val="clear" w:color="auto" w:fill="FFD966" w:themeFill="accent4" w:themeFillTint="99"/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678DC">
        <w:rPr>
          <w:rFonts w:ascii="Times New Roman" w:hAnsi="Times New Roman" w:cs="Times New Roman"/>
          <w:sz w:val="28"/>
          <w:szCs w:val="24"/>
        </w:rPr>
        <w:t xml:space="preserve">sukcesywne </w:t>
      </w:r>
      <w:r w:rsidR="00341E9F" w:rsidRPr="00D678DC">
        <w:rPr>
          <w:rFonts w:ascii="Times New Roman" w:hAnsi="Times New Roman" w:cs="Times New Roman"/>
          <w:sz w:val="28"/>
          <w:szCs w:val="24"/>
        </w:rPr>
        <w:t xml:space="preserve">uzupełnianie </w:t>
      </w:r>
      <w:r w:rsidRPr="00D678DC">
        <w:rPr>
          <w:rFonts w:ascii="Times New Roman" w:hAnsi="Times New Roman" w:cs="Times New Roman"/>
          <w:sz w:val="28"/>
          <w:szCs w:val="24"/>
        </w:rPr>
        <w:t xml:space="preserve">jego </w:t>
      </w:r>
      <w:r w:rsidR="00DE19D8" w:rsidRPr="00D678DC">
        <w:rPr>
          <w:rFonts w:ascii="Times New Roman" w:hAnsi="Times New Roman" w:cs="Times New Roman"/>
          <w:sz w:val="28"/>
          <w:szCs w:val="24"/>
        </w:rPr>
        <w:t xml:space="preserve">poszczególnych </w:t>
      </w:r>
      <w:r w:rsidRPr="00D678DC">
        <w:rPr>
          <w:rFonts w:ascii="Times New Roman" w:hAnsi="Times New Roman" w:cs="Times New Roman"/>
          <w:sz w:val="28"/>
          <w:szCs w:val="24"/>
        </w:rPr>
        <w:t>elementów</w:t>
      </w:r>
    </w:p>
    <w:p w:rsidR="00341E9F" w:rsidRPr="00D678DC" w:rsidRDefault="00D972D8" w:rsidP="00D678DC">
      <w:pPr>
        <w:widowControl w:val="0"/>
        <w:shd w:val="clear" w:color="auto" w:fill="FFD966" w:themeFill="accent4" w:themeFillTint="99"/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678DC">
        <w:rPr>
          <w:rFonts w:ascii="Times New Roman" w:hAnsi="Times New Roman" w:cs="Times New Roman"/>
          <w:sz w:val="28"/>
          <w:szCs w:val="24"/>
        </w:rPr>
        <w:t xml:space="preserve">odpowiednią </w:t>
      </w:r>
      <w:r w:rsidR="00341E9F" w:rsidRPr="00D678DC">
        <w:rPr>
          <w:rFonts w:ascii="Times New Roman" w:hAnsi="Times New Roman" w:cs="Times New Roman"/>
          <w:sz w:val="28"/>
          <w:szCs w:val="24"/>
        </w:rPr>
        <w:t>treści</w:t>
      </w:r>
      <w:r w:rsidRPr="00D678DC">
        <w:rPr>
          <w:rFonts w:ascii="Times New Roman" w:hAnsi="Times New Roman" w:cs="Times New Roman"/>
          <w:sz w:val="28"/>
          <w:szCs w:val="24"/>
        </w:rPr>
        <w:t>ą</w:t>
      </w:r>
      <w:r w:rsidR="00341E9F" w:rsidRPr="00D678DC">
        <w:rPr>
          <w:rFonts w:ascii="Times New Roman" w:hAnsi="Times New Roman" w:cs="Times New Roman"/>
          <w:sz w:val="28"/>
          <w:szCs w:val="24"/>
        </w:rPr>
        <w:t>.</w:t>
      </w:r>
      <w:r w:rsidR="00014228" w:rsidRPr="00D678DC">
        <w:rPr>
          <w:rFonts w:ascii="Times New Roman" w:hAnsi="Times New Roman" w:cs="Times New Roman"/>
          <w:sz w:val="28"/>
          <w:szCs w:val="24"/>
        </w:rPr>
        <w:t xml:space="preserve"> </w:t>
      </w:r>
      <w:r w:rsidR="00014228" w:rsidRPr="00D678DC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D678DC" w:rsidRPr="00D678DC" w:rsidRDefault="00D678DC" w:rsidP="00D678DC">
      <w:pPr>
        <w:widowControl w:val="0"/>
        <w:shd w:val="clear" w:color="auto" w:fill="FFD966" w:themeFill="accent4" w:themeFillTint="99"/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72D8" w:rsidRDefault="00D972D8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678DC" w:rsidRDefault="00D678DC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36FE9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52CB5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</w:t>
      </w:r>
      <w:r w:rsidRPr="00652CB5">
        <w:rPr>
          <w:rFonts w:ascii="Times New Roman" w:hAnsi="Times New Roman" w:cs="Times New Roman"/>
          <w:sz w:val="24"/>
          <w:szCs w:val="24"/>
        </w:rPr>
        <w:t>0000-</w:t>
      </w:r>
      <w:r>
        <w:rPr>
          <w:rFonts w:ascii="Times New Roman" w:hAnsi="Times New Roman" w:cs="Times New Roman"/>
          <w:sz w:val="24"/>
          <w:szCs w:val="24"/>
        </w:rPr>
        <w:t>xxxx</w:t>
      </w:r>
      <w:r w:rsidRPr="00652C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xxxx</w:t>
      </w:r>
      <w:r w:rsidRPr="00652C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xxxx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</w:t>
      </w:r>
      <w:r w:rsidR="00D678DC">
        <w:rPr>
          <w:rFonts w:ascii="Times New Roman" w:hAnsi="Times New Roman" w:cs="Times New Roman"/>
          <w:sz w:val="24"/>
          <w:szCs w:val="24"/>
        </w:rPr>
        <w:t xml:space="preserve"> (oficjalna/zatwierdzona nazwa)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F782F" w:rsidRDefault="004F782F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2CB5" w:rsidRPr="004F782F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32"/>
          <w:szCs w:val="24"/>
        </w:rPr>
      </w:pPr>
      <w:r w:rsidRPr="004F782F">
        <w:rPr>
          <w:rFonts w:ascii="Times New Roman" w:hAnsi="Times New Roman" w:cs="Times New Roman"/>
          <w:sz w:val="32"/>
          <w:szCs w:val="24"/>
        </w:rPr>
        <w:t>Tytuł artykułu odpowiadający jego zawartości</w:t>
      </w:r>
      <w:r w:rsidR="00EA445E" w:rsidRPr="004F782F">
        <w:rPr>
          <w:rFonts w:ascii="Times New Roman" w:hAnsi="Times New Roman" w:cs="Times New Roman"/>
          <w:sz w:val="32"/>
          <w:szCs w:val="24"/>
        </w:rPr>
        <w:t>, może być w dwóch linijkach</w:t>
      </w:r>
      <w:r w:rsidR="00AB3DD0" w:rsidRPr="004F782F">
        <w:rPr>
          <w:rFonts w:ascii="Times New Roman" w:hAnsi="Times New Roman" w:cs="Times New Roman"/>
          <w:sz w:val="32"/>
          <w:szCs w:val="24"/>
        </w:rPr>
        <w:t>, bez kropki na końcu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2CB5" w:rsidRP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52CB5"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Tutaj tekst streszczenia, najlepiej o objętości 500-1000 znaków (ze spacjami).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2CB5" w:rsidRP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52CB5">
        <w:rPr>
          <w:rFonts w:ascii="Times New Roman" w:hAnsi="Times New Roman" w:cs="Times New Roman"/>
          <w:b/>
          <w:sz w:val="24"/>
          <w:szCs w:val="24"/>
        </w:rPr>
        <w:t>Słowa kluczowe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po przecinku, od trzech do siedmiu, zakończone kropką.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2CB5" w:rsidRP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52CB5">
        <w:rPr>
          <w:rFonts w:ascii="Times New Roman" w:hAnsi="Times New Roman" w:cs="Times New Roman"/>
          <w:b/>
          <w:sz w:val="24"/>
          <w:szCs w:val="24"/>
        </w:rPr>
        <w:t>Wprowadzenie</w:t>
      </w:r>
      <w:r w:rsidR="00777013">
        <w:rPr>
          <w:rFonts w:ascii="Times New Roman" w:hAnsi="Times New Roman" w:cs="Times New Roman"/>
          <w:b/>
          <w:sz w:val="24"/>
          <w:szCs w:val="24"/>
        </w:rPr>
        <w:t>, czyli pierwszy podtytuł, bez kropki na końcu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pierwszego akapitu w tej części tekstu. Można pisać bez wcięć akapitowych – zostaną dodane automatycznie podczas dalszych prac nad publikacją. </w:t>
      </w:r>
      <w:r w:rsidR="00D678DC">
        <w:rPr>
          <w:rFonts w:ascii="Times New Roman" w:hAnsi="Times New Roman" w:cs="Times New Roman"/>
          <w:sz w:val="24"/>
          <w:szCs w:val="24"/>
        </w:rPr>
        <w:t xml:space="preserve">Ale jeśli ktoś musi – to tylko przez opcję wysunięcia pierwszego wiersza (nigdy spacjami!!!). </w:t>
      </w:r>
      <w:r w:rsidR="00014228">
        <w:rPr>
          <w:rFonts w:ascii="Times New Roman" w:hAnsi="Times New Roman" w:cs="Times New Roman"/>
          <w:sz w:val="24"/>
          <w:szCs w:val="24"/>
        </w:rPr>
        <w:t>Ważne</w:t>
      </w:r>
      <w:r>
        <w:rPr>
          <w:rFonts w:ascii="Times New Roman" w:hAnsi="Times New Roman" w:cs="Times New Roman"/>
          <w:sz w:val="24"/>
          <w:szCs w:val="24"/>
        </w:rPr>
        <w:t xml:space="preserve">: nie </w:t>
      </w:r>
      <w:r w:rsidR="00014228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stosować twardych spacji</w:t>
      </w:r>
      <w:r w:rsidR="00014228">
        <w:rPr>
          <w:rFonts w:ascii="Times New Roman" w:hAnsi="Times New Roman" w:cs="Times New Roman"/>
          <w:sz w:val="24"/>
          <w:szCs w:val="24"/>
        </w:rPr>
        <w:t xml:space="preserve">, nie wolno </w:t>
      </w:r>
      <w:r>
        <w:rPr>
          <w:rFonts w:ascii="Times New Roman" w:hAnsi="Times New Roman" w:cs="Times New Roman"/>
          <w:sz w:val="24"/>
          <w:szCs w:val="24"/>
        </w:rPr>
        <w:t>ręcznie przenos</w:t>
      </w:r>
      <w:r w:rsidR="00014228"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 wyrazów</w:t>
      </w:r>
      <w:r w:rsidR="0001422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Najlepiej </w:t>
      </w:r>
      <w:r w:rsidR="0001422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ogóle wyłączyć automatyczne dzielenie wyrazów</w:t>
      </w:r>
      <w:r w:rsidR="00EA445E">
        <w:rPr>
          <w:rFonts w:ascii="Times New Roman" w:hAnsi="Times New Roman" w:cs="Times New Roman"/>
          <w:sz w:val="24"/>
          <w:szCs w:val="24"/>
        </w:rPr>
        <w:t xml:space="preserve"> w Wordzie</w:t>
      </w:r>
      <w:r w:rsidR="00CA6DBE">
        <w:rPr>
          <w:rFonts w:ascii="Times New Roman" w:hAnsi="Times New Roman" w:cs="Times New Roman"/>
          <w:sz w:val="24"/>
          <w:szCs w:val="24"/>
        </w:rPr>
        <w:t xml:space="preserve"> (w tym szablonie jest już wyłączone)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F782F" w:rsidRDefault="004F782F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2CB5" w:rsidRPr="00652CB5" w:rsidRDefault="00777013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Podtytuł, pewnie części teoretycznej</w:t>
      </w:r>
    </w:p>
    <w:p w:rsidR="00652CB5" w:rsidRDefault="00652CB5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pierwszego akapitu w drugiej części tekstu. Pewnie będzie to część teoretyczna, z licznymi odniesieniami do literatury. Zatem trzeba pamiętać, aby zawsze </w:t>
      </w:r>
      <w:r w:rsidR="00EA445E">
        <w:rPr>
          <w:rFonts w:ascii="Times New Roman" w:hAnsi="Times New Roman" w:cs="Times New Roman"/>
          <w:sz w:val="24"/>
          <w:szCs w:val="24"/>
        </w:rPr>
        <w:t>cytaty były pisane w cudzysłowie, a na końcu był podany autor i rok publikacji oraz numer strony, na której znajdziemy ten cytat. A więc „gdyby to był cytat, to musiałoby to wyglądać jakoś tak</w:t>
      </w:r>
      <w:r w:rsidR="00CA6DBE">
        <w:rPr>
          <w:rFonts w:ascii="Times New Roman" w:hAnsi="Times New Roman" w:cs="Times New Roman"/>
          <w:sz w:val="24"/>
          <w:szCs w:val="24"/>
        </w:rPr>
        <w:t>”</w:t>
      </w:r>
      <w:r w:rsidR="00EA445E">
        <w:rPr>
          <w:rFonts w:ascii="Times New Roman" w:hAnsi="Times New Roman" w:cs="Times New Roman"/>
          <w:sz w:val="24"/>
          <w:szCs w:val="24"/>
        </w:rPr>
        <w:t xml:space="preserve"> (Całek 2019: 27). Ważne jest, aby wszystkie przywołane publikacje znalazły się na końcu w bibliografii. Jeszcze jedno: unikamy przypisów dolnych.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F782F" w:rsidRDefault="004F782F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7013" w:rsidRPr="00652CB5" w:rsidRDefault="00777013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Podtytuł, pewnie części metodologicznej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pierwszego akapitu w trzeciej części tekstu. To pewnie będzie część z metodologią. Zasady podane wcześniej obowiązują także tutaj. Zatem: nie stosujemy twardych spacji, nie przenosimy wyrazów, unikamy przypisów dolnych, a odsyłacze sporządzamy według wzoru: (Nazwisko rok: strona).</w:t>
      </w:r>
      <w:r w:rsidR="00CA6DBE">
        <w:rPr>
          <w:rFonts w:ascii="Times New Roman" w:hAnsi="Times New Roman" w:cs="Times New Roman"/>
          <w:sz w:val="24"/>
          <w:szCs w:val="24"/>
        </w:rPr>
        <w:t xml:space="preserve"> Ważne: struktura tekstu może być bardziej skomplikowana, zagnieżdżona – należy jedynie pamiętać, aby była logiczna i konsekwentna.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F782F" w:rsidRDefault="004F782F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A445E" w:rsidRPr="00652CB5" w:rsidRDefault="00777013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Podtytuł (wyniki, ich interpretacja, dyskusja – wedle uznania)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pierwszego akapitu w czwartej części tekstu. Zasady – jak wcześniej. To będzie pewnie część z wynikami i ich omówieniem. Warto pamiętać, że każda tabela, każdy wykres i rysunek muszą mieć tytuł (na górze) oraz podane źródło (na dole). Na przykład tak: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A445E" w:rsidRDefault="00EA445E" w:rsidP="00D678D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1. Zwięzły tytuł pięknej </w:t>
      </w:r>
      <w:r w:rsidR="004F782F">
        <w:rPr>
          <w:rFonts w:ascii="Times New Roman" w:hAnsi="Times New Roman" w:cs="Times New Roman"/>
          <w:sz w:val="24"/>
          <w:szCs w:val="24"/>
        </w:rPr>
        <w:t xml:space="preserve">i twórczej </w:t>
      </w:r>
      <w:r>
        <w:rPr>
          <w:rFonts w:ascii="Times New Roman" w:hAnsi="Times New Roman" w:cs="Times New Roman"/>
          <w:sz w:val="24"/>
          <w:szCs w:val="24"/>
        </w:rPr>
        <w:t>tabeli</w:t>
      </w:r>
      <w:r w:rsidR="00777013">
        <w:rPr>
          <w:rFonts w:ascii="Times New Roman" w:hAnsi="Times New Roman" w:cs="Times New Roman"/>
          <w:sz w:val="24"/>
          <w:szCs w:val="24"/>
        </w:rPr>
        <w:t>, bez kropki na końcu</w:t>
      </w:r>
    </w:p>
    <w:p w:rsidR="00145313" w:rsidRDefault="00145313" w:rsidP="00D678D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445E" w:rsidTr="00EA445E">
        <w:tc>
          <w:tcPr>
            <w:tcW w:w="3020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145313">
              <w:rPr>
                <w:rFonts w:ascii="Times New Roman" w:hAnsi="Times New Roman" w:cs="Times New Roman"/>
                <w:sz w:val="24"/>
                <w:szCs w:val="24"/>
              </w:rPr>
              <w:t xml:space="preserve">kolumny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145313">
              <w:rPr>
                <w:rFonts w:ascii="Times New Roman" w:hAnsi="Times New Roman" w:cs="Times New Roman"/>
                <w:sz w:val="24"/>
                <w:szCs w:val="24"/>
              </w:rPr>
              <w:t xml:space="preserve">kolumny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145313">
              <w:rPr>
                <w:rFonts w:ascii="Times New Roman" w:hAnsi="Times New Roman" w:cs="Times New Roman"/>
                <w:sz w:val="24"/>
                <w:szCs w:val="24"/>
              </w:rPr>
              <w:t xml:space="preserve">kolumny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45E" w:rsidTr="00EA445E">
        <w:tc>
          <w:tcPr>
            <w:tcW w:w="3020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  <w:r w:rsidR="00D67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1</w:t>
            </w:r>
          </w:p>
        </w:tc>
        <w:tc>
          <w:tcPr>
            <w:tcW w:w="3021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2</w:t>
            </w:r>
          </w:p>
        </w:tc>
      </w:tr>
      <w:tr w:rsidR="00EA445E" w:rsidTr="00EA445E">
        <w:tc>
          <w:tcPr>
            <w:tcW w:w="3020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2</w:t>
            </w:r>
          </w:p>
        </w:tc>
        <w:tc>
          <w:tcPr>
            <w:tcW w:w="3021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3</w:t>
            </w:r>
          </w:p>
        </w:tc>
        <w:tc>
          <w:tcPr>
            <w:tcW w:w="3021" w:type="dxa"/>
          </w:tcPr>
          <w:p w:rsidR="00EA445E" w:rsidRDefault="00EA445E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4</w:t>
            </w:r>
          </w:p>
        </w:tc>
      </w:tr>
    </w:tbl>
    <w:p w:rsidR="00D678DC" w:rsidRDefault="00D678DC" w:rsidP="00D678D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A445E" w:rsidRPr="00D678DC" w:rsidRDefault="00EA445E" w:rsidP="00D678D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678DC">
        <w:rPr>
          <w:rFonts w:ascii="Times New Roman" w:hAnsi="Times New Roman" w:cs="Times New Roman"/>
          <w:sz w:val="20"/>
          <w:szCs w:val="24"/>
        </w:rPr>
        <w:t>Źródło: opracowanie własne.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678DC" w:rsidRDefault="00D678DC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 dalsza część tekstu w czwartej części artykułu, jak widać piszemy po dodaniu linii odstępu. Jeśli będzie tabela, to możemy się do niej odwołać, pisząc o „tabeli 2” i znów ją przepięknie opisujemy. Ważne: lepiej nie marnować czasu na wyrównanie zawartości tabeli – to zostanie profesjonalnie zrobione na etapie przygotowywaniu publikacji do druku. Naprawdę będzie ładnie i czytelnie!</w:t>
      </w:r>
    </w:p>
    <w:p w:rsidR="00D678DC" w:rsidRDefault="00D678DC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678DC" w:rsidRDefault="00D678DC" w:rsidP="00D678D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Zwięzły tytuł </w:t>
      </w:r>
      <w:r>
        <w:rPr>
          <w:rFonts w:ascii="Times New Roman" w:hAnsi="Times New Roman" w:cs="Times New Roman"/>
          <w:sz w:val="24"/>
          <w:szCs w:val="24"/>
        </w:rPr>
        <w:t xml:space="preserve">drugiej </w:t>
      </w:r>
      <w:r>
        <w:rPr>
          <w:rFonts w:ascii="Times New Roman" w:hAnsi="Times New Roman" w:cs="Times New Roman"/>
          <w:sz w:val="24"/>
          <w:szCs w:val="24"/>
        </w:rPr>
        <w:t xml:space="preserve">pięknej </w:t>
      </w:r>
      <w:r>
        <w:rPr>
          <w:rFonts w:ascii="Times New Roman" w:hAnsi="Times New Roman" w:cs="Times New Roman"/>
          <w:sz w:val="24"/>
          <w:szCs w:val="24"/>
        </w:rPr>
        <w:t>tabeli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znów </w:t>
      </w:r>
      <w:r>
        <w:rPr>
          <w:rFonts w:ascii="Times New Roman" w:hAnsi="Times New Roman" w:cs="Times New Roman"/>
          <w:sz w:val="24"/>
          <w:szCs w:val="24"/>
        </w:rPr>
        <w:t>bez kropki na końcu</w:t>
      </w:r>
    </w:p>
    <w:p w:rsidR="00D678DC" w:rsidRDefault="00D678DC" w:rsidP="00D678D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78DC" w:rsidTr="00714C95">
        <w:tc>
          <w:tcPr>
            <w:tcW w:w="3020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kolumny 1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kolumny 2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kolumny 3</w:t>
            </w:r>
          </w:p>
        </w:tc>
      </w:tr>
      <w:tr w:rsidR="00D678DC" w:rsidTr="00714C95">
        <w:tc>
          <w:tcPr>
            <w:tcW w:w="3020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1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2</w:t>
            </w:r>
          </w:p>
        </w:tc>
      </w:tr>
      <w:tr w:rsidR="00D678DC" w:rsidTr="00714C95">
        <w:tc>
          <w:tcPr>
            <w:tcW w:w="3020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2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3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4</w:t>
            </w:r>
          </w:p>
        </w:tc>
      </w:tr>
      <w:tr w:rsidR="00D678DC" w:rsidTr="00714C95">
        <w:tc>
          <w:tcPr>
            <w:tcW w:w="3020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5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6</w:t>
            </w:r>
          </w:p>
        </w:tc>
      </w:tr>
      <w:tr w:rsidR="00D678DC" w:rsidTr="00714C95">
        <w:tc>
          <w:tcPr>
            <w:tcW w:w="3020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1</w:t>
            </w:r>
          </w:p>
        </w:tc>
        <w:tc>
          <w:tcPr>
            <w:tcW w:w="3021" w:type="dxa"/>
          </w:tcPr>
          <w:p w:rsidR="00D678DC" w:rsidRDefault="00D678DC" w:rsidP="00D678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2</w:t>
            </w:r>
          </w:p>
        </w:tc>
      </w:tr>
    </w:tbl>
    <w:p w:rsidR="00D678DC" w:rsidRDefault="00D678DC" w:rsidP="00D678D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8DC" w:rsidRPr="00D678DC" w:rsidRDefault="00D678DC" w:rsidP="00D678D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678DC">
        <w:rPr>
          <w:rFonts w:ascii="Times New Roman" w:hAnsi="Times New Roman" w:cs="Times New Roman"/>
          <w:sz w:val="20"/>
          <w:szCs w:val="24"/>
        </w:rPr>
        <w:t>Źródło: opracowanie własne.</w:t>
      </w:r>
    </w:p>
    <w:p w:rsidR="00D678DC" w:rsidRDefault="00D678DC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678DC" w:rsidRDefault="00D678DC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F782F" w:rsidRDefault="004F782F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EA445E" w:rsidRPr="00652CB5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pierwszego akapitu w ostatniej części tekstu. Zasady – jak wcześniej.</w:t>
      </w:r>
      <w:r w:rsidR="00CA6DBE">
        <w:rPr>
          <w:rFonts w:ascii="Times New Roman" w:hAnsi="Times New Roman" w:cs="Times New Roman"/>
          <w:sz w:val="24"/>
          <w:szCs w:val="24"/>
        </w:rPr>
        <w:t xml:space="preserve"> W szczególności nie stosujemy twardej spacji i nie przenosimy ręcznie wyrazów.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A445E" w:rsidRP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A445E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  <w:r w:rsidRPr="00EA445E">
        <w:rPr>
          <w:rFonts w:ascii="Times New Roman" w:hAnsi="Times New Roman" w:cs="Times New Roman"/>
          <w:sz w:val="24"/>
          <w:szCs w:val="24"/>
        </w:rPr>
        <w:t xml:space="preserve"> (przykłady</w:t>
      </w:r>
      <w:r w:rsidR="007365CB">
        <w:rPr>
          <w:rFonts w:ascii="Times New Roman" w:hAnsi="Times New Roman" w:cs="Times New Roman"/>
          <w:sz w:val="24"/>
          <w:szCs w:val="24"/>
        </w:rPr>
        <w:t>, alfabetycznie + latami</w:t>
      </w:r>
      <w:r w:rsidRPr="00EA445E">
        <w:rPr>
          <w:rFonts w:ascii="Times New Roman" w:hAnsi="Times New Roman" w:cs="Times New Roman"/>
          <w:sz w:val="24"/>
          <w:szCs w:val="24"/>
        </w:rPr>
        <w:t>)</w:t>
      </w:r>
    </w:p>
    <w:p w:rsidR="00EA445E" w:rsidRDefault="00EA445E" w:rsidP="00D678DC">
      <w:pPr>
        <w:widowControl w:val="0"/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41E9F" w:rsidRDefault="00341E9F" w:rsidP="00D678DC">
      <w:pPr>
        <w:widowControl w:val="0"/>
        <w:suppressAutoHyphens/>
        <w:spacing w:after="12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41E9F">
        <w:rPr>
          <w:rFonts w:ascii="Times New Roman" w:hAnsi="Times New Roman" w:cs="Times New Roman"/>
          <w:sz w:val="24"/>
          <w:szCs w:val="24"/>
        </w:rPr>
        <w:t>Barnes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 xml:space="preserve">, Colin, Mercer, </w:t>
      </w:r>
      <w:proofErr w:type="spellStart"/>
      <w:r w:rsidRPr="00341E9F">
        <w:rPr>
          <w:rFonts w:ascii="Times New Roman" w:hAnsi="Times New Roman" w:cs="Times New Roman"/>
          <w:sz w:val="24"/>
          <w:szCs w:val="24"/>
        </w:rPr>
        <w:t>Geof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 xml:space="preserve"> (2008).</w:t>
      </w:r>
      <w:r w:rsidRPr="00341E9F">
        <w:rPr>
          <w:rFonts w:ascii="Times New Roman" w:hAnsi="Times New Roman" w:cs="Times New Roman"/>
          <w:i/>
          <w:sz w:val="24"/>
          <w:szCs w:val="24"/>
        </w:rPr>
        <w:t xml:space="preserve"> Niepełnosprawność.</w:t>
      </w:r>
      <w:r w:rsidRPr="00341E9F">
        <w:rPr>
          <w:rFonts w:ascii="Times New Roman" w:hAnsi="Times New Roman" w:cs="Times New Roman"/>
          <w:sz w:val="24"/>
          <w:szCs w:val="24"/>
        </w:rPr>
        <w:t xml:space="preserve"> Warszawa: Wydawnictwo Sic!</w:t>
      </w:r>
    </w:p>
    <w:p w:rsidR="00EA445E" w:rsidRPr="00EA445E" w:rsidRDefault="00EA445E" w:rsidP="00D678DC">
      <w:pPr>
        <w:widowControl w:val="0"/>
        <w:suppressAutoHyphens/>
        <w:spacing w:after="12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445E">
        <w:rPr>
          <w:rFonts w:ascii="Times New Roman" w:hAnsi="Times New Roman" w:cs="Times New Roman"/>
          <w:sz w:val="24"/>
          <w:szCs w:val="24"/>
        </w:rPr>
        <w:t>Całek, Grzegorz (2018).</w:t>
      </w:r>
      <w:r w:rsidRPr="00EA445E">
        <w:rPr>
          <w:rFonts w:ascii="Times New Roman" w:hAnsi="Times New Roman" w:cs="Times New Roman"/>
          <w:i/>
          <w:sz w:val="24"/>
          <w:szCs w:val="24"/>
        </w:rPr>
        <w:t xml:space="preserve"> Wolontariat uczniów w systemie oświaty po reformie edukacji w 2017 roku.</w:t>
      </w:r>
      <w:r w:rsidRPr="00EA445E">
        <w:rPr>
          <w:rFonts w:ascii="Times New Roman" w:hAnsi="Times New Roman" w:cs="Times New Roman"/>
          <w:sz w:val="24"/>
          <w:szCs w:val="24"/>
        </w:rPr>
        <w:t xml:space="preserve"> „Trzeci sektor”, 42 (02/2018), 60–72. DOI 10.26368/17332265-042-2-2018-4</w:t>
      </w:r>
    </w:p>
    <w:p w:rsidR="00341E9F" w:rsidRDefault="00341E9F" w:rsidP="00D678DC">
      <w:pPr>
        <w:widowControl w:val="0"/>
        <w:suppressAutoHyphens/>
        <w:spacing w:after="12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1E9F">
        <w:rPr>
          <w:rFonts w:ascii="Times New Roman" w:hAnsi="Times New Roman" w:cs="Times New Roman"/>
          <w:sz w:val="24"/>
          <w:szCs w:val="24"/>
        </w:rPr>
        <w:t>CBOS (2016).</w:t>
      </w:r>
      <w:r w:rsidRPr="00341E9F">
        <w:rPr>
          <w:rFonts w:ascii="Times New Roman" w:hAnsi="Times New Roman" w:cs="Times New Roman"/>
          <w:i/>
          <w:sz w:val="24"/>
          <w:szCs w:val="24"/>
        </w:rPr>
        <w:t xml:space="preserve"> Korzystanie z Internetu</w:t>
      </w:r>
      <w:r w:rsidRPr="00341E9F">
        <w:rPr>
          <w:rFonts w:ascii="Times New Roman" w:hAnsi="Times New Roman" w:cs="Times New Roman"/>
          <w:sz w:val="24"/>
          <w:szCs w:val="24"/>
        </w:rPr>
        <w:t xml:space="preserve">. Warszawa. </w:t>
      </w:r>
      <w:proofErr w:type="spellStart"/>
      <w:r w:rsidRPr="00341E9F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41E9F">
        <w:rPr>
          <w:rFonts w:ascii="Times New Roman" w:hAnsi="Times New Roman" w:cs="Times New Roman"/>
          <w:sz w:val="24"/>
          <w:szCs w:val="24"/>
        </w:rPr>
        <w:t>www.cbos.pl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>/SPISKO M.POL/2016/K_092_16.PDF (dostęp 07.10.2019).</w:t>
      </w:r>
    </w:p>
    <w:p w:rsidR="00341E9F" w:rsidRDefault="00341E9F" w:rsidP="00D678DC">
      <w:pPr>
        <w:widowControl w:val="0"/>
        <w:suppressAutoHyphens/>
        <w:spacing w:after="12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41E9F">
        <w:rPr>
          <w:rFonts w:ascii="Times New Roman" w:hAnsi="Times New Roman" w:cs="Times New Roman"/>
          <w:sz w:val="24"/>
          <w:szCs w:val="24"/>
        </w:rPr>
        <w:t>Hasler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>, Frances (1993).</w:t>
      </w:r>
      <w:r w:rsidRPr="0034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E9F">
        <w:rPr>
          <w:rFonts w:ascii="Times New Roman" w:hAnsi="Times New Roman" w:cs="Times New Roman"/>
          <w:i/>
          <w:sz w:val="24"/>
          <w:szCs w:val="24"/>
        </w:rPr>
        <w:t>Developments</w:t>
      </w:r>
      <w:proofErr w:type="spellEnd"/>
      <w:r w:rsidRPr="00341E9F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341E9F">
        <w:rPr>
          <w:rFonts w:ascii="Times New Roman" w:hAnsi="Times New Roman" w:cs="Times New Roman"/>
          <w:i/>
          <w:sz w:val="24"/>
          <w:szCs w:val="24"/>
        </w:rPr>
        <w:t>Disabled</w:t>
      </w:r>
      <w:proofErr w:type="spellEnd"/>
      <w:r w:rsidRPr="0034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E9F">
        <w:rPr>
          <w:rFonts w:ascii="Times New Roman" w:hAnsi="Times New Roman" w:cs="Times New Roman"/>
          <w:i/>
          <w:sz w:val="24"/>
          <w:szCs w:val="24"/>
        </w:rPr>
        <w:t>People’s</w:t>
      </w:r>
      <w:proofErr w:type="spellEnd"/>
      <w:r w:rsidRPr="0034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E9F">
        <w:rPr>
          <w:rFonts w:ascii="Times New Roman" w:hAnsi="Times New Roman" w:cs="Times New Roman"/>
          <w:i/>
          <w:sz w:val="24"/>
          <w:szCs w:val="24"/>
        </w:rPr>
        <w:t>Movement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 xml:space="preserve">. W: John </w:t>
      </w:r>
      <w:proofErr w:type="spellStart"/>
      <w:r w:rsidRPr="00341E9F">
        <w:rPr>
          <w:rFonts w:ascii="Times New Roman" w:hAnsi="Times New Roman" w:cs="Times New Roman"/>
          <w:sz w:val="24"/>
          <w:szCs w:val="24"/>
        </w:rPr>
        <w:t>Swain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9F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9F">
        <w:rPr>
          <w:rFonts w:ascii="Times New Roman" w:hAnsi="Times New Roman" w:cs="Times New Roman"/>
          <w:sz w:val="24"/>
          <w:szCs w:val="24"/>
        </w:rPr>
        <w:t>Finkestein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E9F">
        <w:rPr>
          <w:rFonts w:ascii="Times New Roman" w:hAnsi="Times New Roman" w:cs="Times New Roman"/>
          <w:sz w:val="24"/>
          <w:szCs w:val="24"/>
        </w:rPr>
        <w:t>Sally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 xml:space="preserve"> French, Mike Oliver (red.).</w:t>
      </w:r>
      <w:r w:rsidRPr="0034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E9F">
        <w:rPr>
          <w:rFonts w:ascii="Times New Roman" w:hAnsi="Times New Roman" w:cs="Times New Roman"/>
          <w:i/>
          <w:sz w:val="24"/>
          <w:szCs w:val="24"/>
        </w:rPr>
        <w:t>Disabling</w:t>
      </w:r>
      <w:proofErr w:type="spellEnd"/>
      <w:r w:rsidRPr="0034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E9F">
        <w:rPr>
          <w:rFonts w:ascii="Times New Roman" w:hAnsi="Times New Roman" w:cs="Times New Roman"/>
          <w:i/>
          <w:sz w:val="24"/>
          <w:szCs w:val="24"/>
        </w:rPr>
        <w:t>Barrier</w:t>
      </w:r>
      <w:bookmarkStart w:id="0" w:name="_GoBack"/>
      <w:bookmarkEnd w:id="0"/>
      <w:r w:rsidRPr="00341E9F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341E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41E9F">
        <w:rPr>
          <w:rFonts w:ascii="Times New Roman" w:hAnsi="Times New Roman" w:cs="Times New Roman"/>
          <w:i/>
          <w:sz w:val="24"/>
          <w:szCs w:val="24"/>
        </w:rPr>
        <w:t>Enabling</w:t>
      </w:r>
      <w:proofErr w:type="spellEnd"/>
      <w:r w:rsidRPr="0034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E9F">
        <w:rPr>
          <w:rFonts w:ascii="Times New Roman" w:hAnsi="Times New Roman" w:cs="Times New Roman"/>
          <w:i/>
          <w:sz w:val="24"/>
          <w:szCs w:val="24"/>
        </w:rPr>
        <w:t>Environments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9F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 w:rsidRPr="00341E9F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341E9F">
        <w:rPr>
          <w:rFonts w:ascii="Times New Roman" w:hAnsi="Times New Roman" w:cs="Times New Roman"/>
          <w:sz w:val="24"/>
          <w:szCs w:val="24"/>
        </w:rPr>
        <w:t>, s. 278–284.</w:t>
      </w:r>
    </w:p>
    <w:p w:rsidR="00EA445E" w:rsidRPr="00EA445E" w:rsidRDefault="00EA445E" w:rsidP="00D678DC">
      <w:pPr>
        <w:widowControl w:val="0"/>
        <w:suppressAutoHyphens/>
        <w:spacing w:after="12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445E">
        <w:rPr>
          <w:rFonts w:ascii="Times New Roman" w:hAnsi="Times New Roman" w:cs="Times New Roman"/>
          <w:sz w:val="24"/>
          <w:szCs w:val="24"/>
        </w:rPr>
        <w:t>Konecki, Krzysztof T. (2000).</w:t>
      </w:r>
      <w:r w:rsidRPr="00EA445E">
        <w:rPr>
          <w:rFonts w:ascii="Times New Roman" w:hAnsi="Times New Roman" w:cs="Times New Roman"/>
          <w:i/>
          <w:sz w:val="24"/>
          <w:szCs w:val="24"/>
        </w:rPr>
        <w:t xml:space="preserve"> Studia z metodologii badań jakościowych. Teoria ugruntowana.</w:t>
      </w:r>
      <w:r w:rsidRPr="00EA445E">
        <w:rPr>
          <w:rFonts w:ascii="Times New Roman" w:hAnsi="Times New Roman" w:cs="Times New Roman"/>
          <w:sz w:val="24"/>
          <w:szCs w:val="24"/>
        </w:rPr>
        <w:t xml:space="preserve"> Warszawa: Wydawnictwo Naukowe PWN.</w:t>
      </w:r>
    </w:p>
    <w:p w:rsidR="00EA445E" w:rsidRPr="00EA445E" w:rsidRDefault="00EA445E" w:rsidP="00D678DC">
      <w:pPr>
        <w:widowControl w:val="0"/>
        <w:suppressAutoHyphens/>
        <w:spacing w:after="12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445E">
        <w:rPr>
          <w:rFonts w:ascii="Times New Roman" w:hAnsi="Times New Roman" w:cs="Times New Roman"/>
          <w:sz w:val="24"/>
          <w:szCs w:val="24"/>
        </w:rPr>
        <w:t>Trojanowska, Milena (2020).</w:t>
      </w:r>
      <w:r w:rsidRPr="00EA445E">
        <w:rPr>
          <w:rFonts w:ascii="Times New Roman" w:hAnsi="Times New Roman" w:cs="Times New Roman"/>
          <w:i/>
          <w:sz w:val="24"/>
          <w:szCs w:val="24"/>
        </w:rPr>
        <w:t xml:space="preserve"> Znaczenie badań pogranicza w kontekście badań o niepełnosprawności.</w:t>
      </w:r>
      <w:r w:rsidRPr="00EA445E">
        <w:rPr>
          <w:rFonts w:ascii="Times New Roman" w:hAnsi="Times New Roman" w:cs="Times New Roman"/>
          <w:sz w:val="24"/>
          <w:szCs w:val="24"/>
        </w:rPr>
        <w:t xml:space="preserve"> W: Grzegorz Całek, Jakub Niedbalski, Dorota Żuchowska-Skiba (red.).</w:t>
      </w:r>
      <w:r w:rsidRPr="00EA445E">
        <w:rPr>
          <w:rFonts w:ascii="Times New Roman" w:hAnsi="Times New Roman" w:cs="Times New Roman"/>
          <w:i/>
          <w:sz w:val="24"/>
          <w:szCs w:val="24"/>
        </w:rPr>
        <w:t xml:space="preserve"> Jak badać zjawisko niepełnosprawności. Szanse i zagrożenia założeń teoretycznych i metodologicznych studiów nad niepełnosprawnością.</w:t>
      </w:r>
      <w:r w:rsidRPr="00EA445E">
        <w:rPr>
          <w:rFonts w:ascii="Times New Roman" w:hAnsi="Times New Roman" w:cs="Times New Roman"/>
          <w:sz w:val="24"/>
          <w:szCs w:val="24"/>
        </w:rPr>
        <w:t xml:space="preserve"> Łódź: Wydawnictwo Uniwersytetu Łódzkiego, s. 55–64.</w:t>
      </w:r>
    </w:p>
    <w:p w:rsidR="00341E9F" w:rsidRDefault="00341E9F" w:rsidP="00D678DC">
      <w:pPr>
        <w:widowControl w:val="0"/>
        <w:suppressAutoHyphens/>
        <w:spacing w:after="12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1E9F">
        <w:rPr>
          <w:rFonts w:ascii="Times New Roman" w:hAnsi="Times New Roman" w:cs="Times New Roman"/>
          <w:sz w:val="24"/>
          <w:szCs w:val="24"/>
        </w:rPr>
        <w:t>Ustawa z dnia 12 marca 2004 r. o pomocy społecznej (Dz.U. 2004, nr 64, poz. 593).</w:t>
      </w:r>
    </w:p>
    <w:p w:rsidR="00EA445E" w:rsidRPr="00652CB5" w:rsidRDefault="00341E9F" w:rsidP="00D678DC">
      <w:pPr>
        <w:widowControl w:val="0"/>
        <w:suppressAutoHyphens/>
        <w:spacing w:after="12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1E9F">
        <w:rPr>
          <w:rFonts w:ascii="Times New Roman" w:hAnsi="Times New Roman" w:cs="Times New Roman"/>
          <w:sz w:val="24"/>
          <w:szCs w:val="24"/>
        </w:rPr>
        <w:t>Żółkowska, Teresa (2013).</w:t>
      </w:r>
      <w:r w:rsidRPr="00341E9F">
        <w:rPr>
          <w:rFonts w:ascii="Times New Roman" w:hAnsi="Times New Roman" w:cs="Times New Roman"/>
          <w:i/>
          <w:sz w:val="24"/>
          <w:szCs w:val="24"/>
        </w:rPr>
        <w:t xml:space="preserve"> Społeczna (de)waloryzacja roli osoby niepełnosprawnej</w:t>
      </w:r>
      <w:r w:rsidRPr="00341E9F">
        <w:rPr>
          <w:rFonts w:ascii="Times New Roman" w:hAnsi="Times New Roman" w:cs="Times New Roman"/>
          <w:sz w:val="24"/>
          <w:szCs w:val="24"/>
        </w:rPr>
        <w:t>. W: Zenon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9F">
        <w:rPr>
          <w:rFonts w:ascii="Times New Roman" w:hAnsi="Times New Roman" w:cs="Times New Roman"/>
          <w:sz w:val="24"/>
          <w:szCs w:val="24"/>
        </w:rPr>
        <w:t>Gajdzica (red.).</w:t>
      </w:r>
      <w:r w:rsidRPr="00341E9F">
        <w:rPr>
          <w:rFonts w:ascii="Times New Roman" w:hAnsi="Times New Roman" w:cs="Times New Roman"/>
          <w:i/>
          <w:sz w:val="24"/>
          <w:szCs w:val="24"/>
        </w:rPr>
        <w:t xml:space="preserve"> Człowiek z niepełnosprawnością w rezerwacie przestrzeni publicznej</w:t>
      </w:r>
      <w:r w:rsidRPr="00341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9F">
        <w:rPr>
          <w:rFonts w:ascii="Times New Roman" w:hAnsi="Times New Roman" w:cs="Times New Roman"/>
          <w:sz w:val="24"/>
          <w:szCs w:val="24"/>
        </w:rPr>
        <w:t>Kraków: Oficyna Wydawnicza Impuls, s. 40–60.</w:t>
      </w:r>
    </w:p>
    <w:sectPr w:rsidR="00EA445E" w:rsidRPr="0065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A"/>
    <w:rsid w:val="00014228"/>
    <w:rsid w:val="000358BD"/>
    <w:rsid w:val="00145313"/>
    <w:rsid w:val="00336FE9"/>
    <w:rsid w:val="00341E9F"/>
    <w:rsid w:val="004F782F"/>
    <w:rsid w:val="00606B07"/>
    <w:rsid w:val="00652CB5"/>
    <w:rsid w:val="007365CB"/>
    <w:rsid w:val="00765C21"/>
    <w:rsid w:val="00777013"/>
    <w:rsid w:val="007975CD"/>
    <w:rsid w:val="00A316B1"/>
    <w:rsid w:val="00AB3DD0"/>
    <w:rsid w:val="00C0352F"/>
    <w:rsid w:val="00C103FA"/>
    <w:rsid w:val="00CA6DBE"/>
    <w:rsid w:val="00D678DC"/>
    <w:rsid w:val="00D972D8"/>
    <w:rsid w:val="00DE19D8"/>
    <w:rsid w:val="00E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51C1"/>
  <w15:chartTrackingRefBased/>
  <w15:docId w15:val="{2E5C33B9-5542-4C08-939C-6AF8ABD3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B5C9-4294-4AFA-8E9F-A8294E0C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 pisania tekstu naukowego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 pisania tekstu naukowego</dc:title>
  <dc:subject/>
  <dc:creator>GC</dc:creator>
  <cp:keywords/>
  <dc:description>Właściwości dokumentu mogą pozostać puste, ponieważ i tak znikną podczas kopiowania do programu DTP.</dc:description>
  <cp:lastModifiedBy>GC</cp:lastModifiedBy>
  <cp:revision>17</cp:revision>
  <dcterms:created xsi:type="dcterms:W3CDTF">2020-08-04T12:21:00Z</dcterms:created>
  <dcterms:modified xsi:type="dcterms:W3CDTF">2020-08-05T08:02:00Z</dcterms:modified>
</cp:coreProperties>
</file>